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A3" w:rsidRDefault="00C8178B" w:rsidP="007643A3">
      <w:pPr>
        <w:pStyle w:val="Encabezado"/>
        <w:spacing w:line="276" w:lineRule="auto"/>
        <w:rPr>
          <w:rFonts w:ascii="Myriad Pro" w:hAnsi="Myriad Pro"/>
          <w:color w:val="008080"/>
          <w:sz w:val="28"/>
          <w:szCs w:val="28"/>
        </w:rPr>
      </w:pPr>
      <w:r>
        <w:rPr>
          <w:rFonts w:ascii="Myriad Pro" w:hAnsi="Myriad Pro"/>
          <w:noProof/>
          <w:color w:val="008080"/>
          <w:sz w:val="28"/>
          <w:szCs w:val="28"/>
          <w:lang w:eastAsia="es-ES"/>
        </w:rPr>
        <w:drawing>
          <wp:inline distT="0" distB="0" distL="0" distR="0">
            <wp:extent cx="2154804" cy="107447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anco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50" cy="111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3A3" w:rsidRPr="00ED7C72">
        <w:rPr>
          <w:rFonts w:ascii="Myriad Pro" w:hAnsi="Myriad Pro"/>
          <w:color w:val="008080"/>
          <w:sz w:val="28"/>
          <w:szCs w:val="28"/>
        </w:rPr>
        <w:t xml:space="preserve"> </w:t>
      </w:r>
    </w:p>
    <w:p w:rsidR="0025315D" w:rsidRPr="00ED7C72" w:rsidRDefault="0025315D" w:rsidP="007643A3">
      <w:pPr>
        <w:pStyle w:val="Encabezado"/>
        <w:spacing w:line="276" w:lineRule="auto"/>
        <w:rPr>
          <w:rFonts w:ascii="Myriad Pro" w:hAnsi="Myriad Pro"/>
          <w:color w:val="008080"/>
          <w:sz w:val="28"/>
          <w:szCs w:val="28"/>
        </w:rPr>
      </w:pPr>
      <w:r w:rsidRPr="00ED7C72">
        <w:rPr>
          <w:rFonts w:ascii="Myriad Pro" w:hAnsi="Myriad Pro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A8509" wp14:editId="7FBE7C76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5135880" cy="295275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58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315D" w:rsidRPr="0037236A" w:rsidRDefault="0025315D" w:rsidP="0025315D">
                            <w:pPr>
                              <w:pStyle w:val="Encabezado"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color w:val="323E4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5315D">
                              <w:rPr>
                                <w:rFonts w:ascii="Myriad Pro" w:hAnsi="Myriad Pro"/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  <w:t>Cuestionario</w:t>
                            </w:r>
                            <w:r>
                              <w:rPr>
                                <w:rFonts w:ascii="Myriad Pro" w:hAnsi="Myriad Pro"/>
                                <w:b/>
                                <w:bCs/>
                                <w:color w:val="323E4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25315D">
                              <w:rPr>
                                <w:rFonts w:ascii="Myriad Pro" w:hAnsi="Myriad Pro"/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  <w:t>Anti</w:t>
                            </w:r>
                            <w:r>
                              <w:rPr>
                                <w:rFonts w:ascii="Myriad Pro" w:hAnsi="Myriad Pro"/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  <w:t>-</w:t>
                            </w:r>
                            <w:r w:rsidR="00CC3849">
                              <w:rPr>
                                <w:rFonts w:ascii="Myriad Pro" w:hAnsi="Myriad Pro"/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  <w:t>La</w:t>
                            </w:r>
                            <w:r w:rsidRPr="0025315D">
                              <w:rPr>
                                <w:rFonts w:ascii="Myriad Pro" w:hAnsi="Myriad Pro"/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  <w:t>vado</w:t>
                            </w:r>
                            <w:r>
                              <w:rPr>
                                <w:rFonts w:ascii="Myriad Pro" w:hAnsi="Myriad Pro"/>
                                <w:b/>
                                <w:bCs/>
                                <w:color w:val="323E4F"/>
                                <w:sz w:val="28"/>
                                <w:szCs w:val="28"/>
                                <w:lang w:val="en-US"/>
                              </w:rPr>
                              <w:t xml:space="preserve"> de </w:t>
                            </w:r>
                            <w:r w:rsidRPr="0025315D">
                              <w:rPr>
                                <w:rFonts w:ascii="Myriad Pro" w:hAnsi="Myriad Pro"/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  <w:t>Activos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tx1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A850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.5pt;width:404.4pt;height:23.2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" filled="f" stroked="f">
                <v:path arrowok="t"/>
                <v:textbox style="mso-fit-shape-to-text:t">
                  <w:txbxContent>
                    <w:p w:rsidR="0025315D" w:rsidRPr="0037236A" w:rsidRDefault="0025315D" w:rsidP="0025315D">
                      <w:pPr>
                        <w:pStyle w:val="Encabezado"/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/>
                          <w:b/>
                          <w:bCs/>
                          <w:color w:val="323E4F"/>
                          <w:sz w:val="28"/>
                          <w:szCs w:val="28"/>
                          <w:lang w:val="en-US"/>
                        </w:rPr>
                      </w:pPr>
                      <w:r w:rsidRPr="0025315D">
                        <w:rPr>
                          <w:rFonts w:ascii="Myriad Pro" w:hAnsi="Myriad Pro"/>
                          <w:b/>
                          <w:bCs/>
                          <w:color w:val="323E4F"/>
                          <w:sz w:val="28"/>
                          <w:szCs w:val="28"/>
                        </w:rPr>
                        <w:t>Cuestionario</w:t>
                      </w:r>
                      <w:r>
                        <w:rPr>
                          <w:rFonts w:ascii="Myriad Pro" w:hAnsi="Myriad Pro"/>
                          <w:b/>
                          <w:bCs/>
                          <w:color w:val="323E4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25315D">
                        <w:rPr>
                          <w:rFonts w:ascii="Myriad Pro" w:hAnsi="Myriad Pro"/>
                          <w:b/>
                          <w:bCs/>
                          <w:color w:val="323E4F"/>
                          <w:sz w:val="28"/>
                          <w:szCs w:val="28"/>
                        </w:rPr>
                        <w:t>Anti</w:t>
                      </w:r>
                      <w:r>
                        <w:rPr>
                          <w:rFonts w:ascii="Myriad Pro" w:hAnsi="Myriad Pro"/>
                          <w:b/>
                          <w:bCs/>
                          <w:color w:val="323E4F"/>
                          <w:sz w:val="28"/>
                          <w:szCs w:val="28"/>
                        </w:rPr>
                        <w:t>-</w:t>
                      </w:r>
                      <w:r w:rsidR="00CC3849">
                        <w:rPr>
                          <w:rFonts w:ascii="Myriad Pro" w:hAnsi="Myriad Pro"/>
                          <w:b/>
                          <w:bCs/>
                          <w:color w:val="323E4F"/>
                          <w:sz w:val="28"/>
                          <w:szCs w:val="28"/>
                        </w:rPr>
                        <w:t>La</w:t>
                      </w:r>
                      <w:r w:rsidRPr="0025315D">
                        <w:rPr>
                          <w:rFonts w:ascii="Myriad Pro" w:hAnsi="Myriad Pro"/>
                          <w:b/>
                          <w:bCs/>
                          <w:color w:val="323E4F"/>
                          <w:sz w:val="28"/>
                          <w:szCs w:val="28"/>
                        </w:rPr>
                        <w:t>vado</w:t>
                      </w:r>
                      <w:r>
                        <w:rPr>
                          <w:rFonts w:ascii="Myriad Pro" w:hAnsi="Myriad Pro"/>
                          <w:b/>
                          <w:bCs/>
                          <w:color w:val="323E4F"/>
                          <w:sz w:val="28"/>
                          <w:szCs w:val="28"/>
                          <w:lang w:val="en-US"/>
                        </w:rPr>
                        <w:t xml:space="preserve"> de </w:t>
                      </w:r>
                      <w:r w:rsidRPr="0025315D">
                        <w:rPr>
                          <w:rFonts w:ascii="Myriad Pro" w:hAnsi="Myriad Pro"/>
                          <w:b/>
                          <w:bCs/>
                          <w:color w:val="323E4F"/>
                          <w:sz w:val="28"/>
                          <w:szCs w:val="28"/>
                        </w:rPr>
                        <w:t>Activos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643A3" w:rsidRPr="00ED7C72" w:rsidRDefault="007643A3" w:rsidP="007643A3">
      <w:pPr>
        <w:pStyle w:val="Encabezado"/>
        <w:tabs>
          <w:tab w:val="clear" w:pos="4252"/>
          <w:tab w:val="clear" w:pos="8504"/>
        </w:tabs>
        <w:spacing w:line="276" w:lineRule="auto"/>
        <w:rPr>
          <w:rFonts w:ascii="Myriad Pro" w:hAnsi="Myriad Pro"/>
          <w:b/>
          <w:bCs/>
          <w:sz w:val="28"/>
          <w:szCs w:val="28"/>
        </w:rPr>
      </w:pPr>
      <w:r w:rsidRPr="00ED7C72">
        <w:rPr>
          <w:rFonts w:ascii="Myriad Pro" w:hAnsi="Myriad Pro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19050</wp:posOffset>
                </wp:positionV>
                <wp:extent cx="5135880" cy="2952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58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43A3" w:rsidRPr="0037236A" w:rsidRDefault="007643A3" w:rsidP="007643A3">
                            <w:pPr>
                              <w:pStyle w:val="Encabezado"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color w:val="323E4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7236A">
                              <w:rPr>
                                <w:rFonts w:ascii="Myriad Pro" w:hAnsi="Myriad Pro"/>
                                <w:b/>
                                <w:bCs/>
                                <w:color w:val="323E4F"/>
                                <w:sz w:val="28"/>
                                <w:szCs w:val="28"/>
                                <w:lang w:val="en-US"/>
                              </w:rPr>
                              <w:t>Know Your Customer &amp; Anti–Mone</w:t>
                            </w:r>
                            <w:bookmarkStart w:id="0" w:name="_GoBack"/>
                            <w:bookmarkEnd w:id="0"/>
                            <w:r w:rsidRPr="0037236A">
                              <w:rPr>
                                <w:rFonts w:ascii="Myriad Pro" w:hAnsi="Myriad Pro"/>
                                <w:b/>
                                <w:bCs/>
                                <w:color w:val="323E4F"/>
                                <w:sz w:val="28"/>
                                <w:szCs w:val="28"/>
                                <w:lang w:val="en-US"/>
                              </w:rPr>
                              <w:t>y Laundering Questionnaire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tx1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65.8pt;margin-top:1.5pt;width:404.4pt;height:2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" filled="f" stroked="f">
                <v:path arrowok="t"/>
                <v:textbox style="mso-fit-shape-to-text:t">
                  <w:txbxContent>
                    <w:p w:rsidR="007643A3" w:rsidRPr="0037236A" w:rsidRDefault="007643A3" w:rsidP="007643A3">
                      <w:pPr>
                        <w:pStyle w:val="Encabezado"/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/>
                          <w:b/>
                          <w:bCs/>
                          <w:color w:val="323E4F"/>
                          <w:sz w:val="28"/>
                          <w:szCs w:val="28"/>
                          <w:lang w:val="en-US"/>
                        </w:rPr>
                      </w:pPr>
                      <w:r w:rsidRPr="0037236A">
                        <w:rPr>
                          <w:rFonts w:ascii="Myriad Pro" w:hAnsi="Myriad Pro"/>
                          <w:b/>
                          <w:bCs/>
                          <w:color w:val="323E4F"/>
                          <w:sz w:val="28"/>
                          <w:szCs w:val="28"/>
                          <w:lang w:val="en-US"/>
                        </w:rPr>
                        <w:t>Know Your Customer &amp; Anti–Mone</w:t>
                      </w:r>
                      <w:bookmarkStart w:id="1" w:name="_GoBack"/>
                      <w:bookmarkEnd w:id="1"/>
                      <w:r w:rsidRPr="0037236A">
                        <w:rPr>
                          <w:rFonts w:ascii="Myriad Pro" w:hAnsi="Myriad Pro"/>
                          <w:b/>
                          <w:bCs/>
                          <w:color w:val="323E4F"/>
                          <w:sz w:val="28"/>
                          <w:szCs w:val="28"/>
                          <w:lang w:val="en-US"/>
                        </w:rPr>
                        <w:t>y Laundering Questionnaire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7C72">
        <w:rPr>
          <w:rFonts w:ascii="Myriad Pro" w:hAnsi="Myriad Pro"/>
          <w:b/>
          <w:bCs/>
          <w:sz w:val="28"/>
          <w:szCs w:val="28"/>
        </w:rPr>
        <w:tab/>
      </w:r>
    </w:p>
    <w:p w:rsidR="007643A3" w:rsidRPr="00ED7C72" w:rsidRDefault="007643A3" w:rsidP="007643A3">
      <w:pPr>
        <w:pStyle w:val="Encabezado"/>
        <w:tabs>
          <w:tab w:val="clear" w:pos="4252"/>
          <w:tab w:val="clear" w:pos="8504"/>
        </w:tabs>
        <w:spacing w:line="276" w:lineRule="auto"/>
        <w:rPr>
          <w:rFonts w:ascii="Myriad Pro" w:hAnsi="Myriad Pro" w:cs="Calibri"/>
          <w:i/>
          <w:sz w:val="28"/>
          <w:szCs w:val="28"/>
          <w:lang w:val="es-PR"/>
        </w:rPr>
      </w:pPr>
    </w:p>
    <w:p w:rsidR="007643A3" w:rsidRPr="004F151F" w:rsidRDefault="007643A3" w:rsidP="007643A3">
      <w:pPr>
        <w:pStyle w:val="Encabezado"/>
        <w:tabs>
          <w:tab w:val="clear" w:pos="4252"/>
          <w:tab w:val="clear" w:pos="8504"/>
        </w:tabs>
        <w:spacing w:line="276" w:lineRule="auto"/>
        <w:rPr>
          <w:rFonts w:ascii="Myriad Pro" w:hAnsi="Myriad Pro" w:cs="Calibri"/>
          <w:i/>
          <w:sz w:val="24"/>
          <w:szCs w:val="24"/>
          <w:lang w:val="es-PR"/>
        </w:rPr>
      </w:pPr>
      <w:r w:rsidRPr="004F151F">
        <w:rPr>
          <w:rFonts w:ascii="Myriad Pro" w:hAnsi="Myriad Pro" w:cs="Calibri"/>
          <w:i/>
          <w:sz w:val="24"/>
          <w:szCs w:val="24"/>
          <w:lang w:val="es-PR"/>
        </w:rPr>
        <w:t>Con el propósito de cumplir las regulaciones cubanas e internacionales respecto a la prevención del lavado de activos y el financiamiento al terrorismo le agradecemos a nombre de su Institución cumplimentar y firma este cuestionario.</w:t>
      </w:r>
    </w:p>
    <w:p w:rsidR="007643A3" w:rsidRPr="004F151F" w:rsidRDefault="007643A3" w:rsidP="007643A3">
      <w:pPr>
        <w:spacing w:after="0"/>
        <w:jc w:val="both"/>
        <w:rPr>
          <w:rFonts w:ascii="Myriad Pro" w:hAnsi="Myriad Pro" w:cs="Calibri"/>
          <w:i/>
          <w:sz w:val="24"/>
          <w:szCs w:val="24"/>
          <w:lang w:val="en-US"/>
        </w:rPr>
      </w:pPr>
      <w:r w:rsidRPr="0025315D">
        <w:rPr>
          <w:rFonts w:ascii="Myriad Pro" w:hAnsi="Myriad Pro" w:cs="Calibri"/>
          <w:i/>
          <w:sz w:val="24"/>
          <w:szCs w:val="24"/>
          <w:lang w:val="en-US"/>
        </w:rPr>
        <w:t>In order to comply with Cuban regulations and international standards regarding the Prevention of Money Laundering and the Comb</w:t>
      </w:r>
      <w:r w:rsidRPr="004F151F">
        <w:rPr>
          <w:rFonts w:ascii="Myriad Pro" w:hAnsi="Myriad Pro" w:cs="Calibri"/>
          <w:i/>
          <w:sz w:val="24"/>
          <w:szCs w:val="24"/>
          <w:lang w:val="en-US"/>
        </w:rPr>
        <w:t>ating of Terrorist Financing we may ask your good financial institution to answer and sign this questionnaire in full.</w:t>
      </w:r>
    </w:p>
    <w:p w:rsidR="007643A3" w:rsidRPr="004F151F" w:rsidRDefault="007643A3" w:rsidP="007643A3">
      <w:pPr>
        <w:spacing w:after="0"/>
        <w:rPr>
          <w:rFonts w:ascii="Myriad Pro" w:hAnsi="Myriad Pro" w:cs="Calibri"/>
          <w:i/>
          <w:sz w:val="24"/>
          <w:szCs w:val="24"/>
        </w:rPr>
      </w:pPr>
      <w:r w:rsidRPr="004F151F">
        <w:rPr>
          <w:rFonts w:ascii="Myriad Pro" w:hAnsi="Myriad Pro" w:cs="Calibri"/>
          <w:i/>
          <w:sz w:val="24"/>
          <w:szCs w:val="24"/>
        </w:rPr>
        <w:t>Banco de Inversiones SA</w:t>
      </w:r>
    </w:p>
    <w:tbl>
      <w:tblPr>
        <w:tblW w:w="105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71"/>
        <w:gridCol w:w="7620"/>
      </w:tblGrid>
      <w:tr w:rsidR="007643A3" w:rsidRPr="00ED7C72" w:rsidTr="00A31F8A">
        <w:trPr>
          <w:trHeight w:val="172"/>
        </w:trPr>
        <w:tc>
          <w:tcPr>
            <w:tcW w:w="1057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323E4F"/>
          </w:tcPr>
          <w:p w:rsidR="007643A3" w:rsidRPr="00ED7C72" w:rsidRDefault="007643A3" w:rsidP="00A31F8A">
            <w:pPr>
              <w:pStyle w:val="Default"/>
              <w:tabs>
                <w:tab w:val="left" w:pos="2565"/>
              </w:tabs>
              <w:spacing w:line="276" w:lineRule="auto"/>
              <w:jc w:val="both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b/>
                <w:bCs/>
                <w:color w:val="auto"/>
                <w:sz w:val="28"/>
                <w:szCs w:val="28"/>
                <w:lang w:val="en-US"/>
              </w:rPr>
              <w:t xml:space="preserve">General Information   </w:t>
            </w:r>
            <w:r w:rsidRPr="00ED7C72">
              <w:rPr>
                <w:rFonts w:ascii="Myriad Pro" w:hAnsi="Myriad Pro" w:cs="Calibri"/>
                <w:b/>
                <w:bCs/>
                <w:color w:val="auto"/>
                <w:sz w:val="28"/>
                <w:szCs w:val="28"/>
                <w:lang w:val="en-US"/>
              </w:rPr>
              <w:tab/>
            </w:r>
          </w:p>
        </w:tc>
      </w:tr>
      <w:tr w:rsidR="007643A3" w:rsidRPr="00ED7C72" w:rsidTr="00A31F8A">
        <w:trPr>
          <w:trHeight w:val="185"/>
        </w:trPr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643A3" w:rsidRPr="004F151F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</w:rPr>
            </w:pPr>
            <w:r w:rsidRPr="004F151F">
              <w:rPr>
                <w:rFonts w:ascii="Myriad Pro" w:hAnsi="Myriad Pro" w:cs="Calibri"/>
                <w:b/>
                <w:bCs/>
                <w:color w:val="auto"/>
              </w:rPr>
              <w:t>Nombre de la Institución/ FI Name : (1)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</w:rPr>
            </w:pPr>
          </w:p>
        </w:tc>
      </w:tr>
      <w:tr w:rsidR="007643A3" w:rsidRPr="00ED7C72" w:rsidTr="00A31F8A">
        <w:trPr>
          <w:trHeight w:val="206"/>
        </w:trPr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643A3" w:rsidRPr="004F151F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lang w:val="en-US"/>
              </w:rPr>
            </w:pPr>
            <w:r w:rsidRPr="004F151F">
              <w:rPr>
                <w:rFonts w:ascii="Myriad Pro" w:hAnsi="Myriad Pro" w:cs="Calibri"/>
                <w:b/>
                <w:bCs/>
                <w:color w:val="auto"/>
                <w:lang w:val="en-US"/>
              </w:rPr>
              <w:t>Licencia Bancaria/Banking licence: (2)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ED7C72" w:rsidTr="00A31F8A">
        <w:trPr>
          <w:trHeight w:val="170"/>
        </w:trPr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643A3" w:rsidRPr="004F151F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lang w:val="en-US"/>
              </w:rPr>
            </w:pPr>
            <w:r w:rsidRPr="004F151F">
              <w:rPr>
                <w:rFonts w:ascii="Myriad Pro" w:hAnsi="Myriad Pro" w:cs="Calibri"/>
                <w:b/>
                <w:bCs/>
                <w:color w:val="auto"/>
                <w:lang w:val="en-US"/>
              </w:rPr>
              <w:t>Dirección/Full address: (3)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ED7C72" w:rsidTr="00A31F8A">
        <w:trPr>
          <w:trHeight w:val="180"/>
        </w:trPr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643A3" w:rsidRPr="004F151F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lang w:val="en-US"/>
              </w:rPr>
            </w:pPr>
            <w:r w:rsidRPr="004F151F">
              <w:rPr>
                <w:rFonts w:ascii="Myriad Pro" w:hAnsi="Myriad Pro" w:cs="Calibri"/>
                <w:b/>
                <w:bCs/>
                <w:color w:val="auto"/>
                <w:lang w:val="en-US"/>
              </w:rPr>
              <w:t>Autoridad Reguladora/ Regulating Authority: (4)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ED7C72" w:rsidTr="00A31F8A">
        <w:trPr>
          <w:trHeight w:val="190"/>
        </w:trPr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3A3" w:rsidRPr="004F151F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lang w:val="en-US"/>
              </w:rPr>
            </w:pPr>
            <w:r w:rsidRPr="004F151F">
              <w:rPr>
                <w:rFonts w:ascii="Myriad Pro" w:hAnsi="Myriad Pro" w:cs="Calibri"/>
                <w:b/>
                <w:bCs/>
                <w:color w:val="auto"/>
                <w:lang w:val="en-US"/>
              </w:rPr>
              <w:t>Accionarado/Shareholder’s equity: (5)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ED7C72" w:rsidTr="00A31F8A">
        <w:trPr>
          <w:trHeight w:val="230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4F151F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lang w:val="en-US"/>
              </w:rPr>
            </w:pPr>
            <w:r w:rsidRPr="004F151F">
              <w:rPr>
                <w:rFonts w:ascii="Myriad Pro" w:hAnsi="Myriad Pro" w:cs="Calibri"/>
                <w:b/>
                <w:bCs/>
                <w:color w:val="auto"/>
                <w:lang w:val="en-US"/>
              </w:rPr>
              <w:t>Miembros de la Junta Directiva/Members of the board of managing directors (6)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i/>
                <w:iCs/>
                <w:color w:val="auto"/>
                <w:sz w:val="28"/>
                <w:szCs w:val="28"/>
                <w:lang w:val="en-US"/>
              </w:rPr>
              <w:t xml:space="preserve">Listing attached </w:t>
            </w:r>
          </w:p>
        </w:tc>
      </w:tr>
      <w:tr w:rsidR="007643A3" w:rsidRPr="00ED7C72" w:rsidTr="00A31F8A">
        <w:trPr>
          <w:trHeight w:val="172"/>
        </w:trPr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643A3" w:rsidRPr="004F151F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lang w:val="en-US"/>
              </w:rPr>
            </w:pPr>
            <w:r w:rsidRPr="004F151F">
              <w:rPr>
                <w:rFonts w:ascii="Myriad Pro" w:hAnsi="Myriad Pro" w:cs="Calibri"/>
                <w:b/>
                <w:bCs/>
                <w:color w:val="auto"/>
                <w:lang w:val="en-US"/>
              </w:rPr>
              <w:t>Sitio Web/ FI Website (7)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ED7C72" w:rsidTr="00A31F8A">
        <w:trPr>
          <w:trHeight w:val="177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643A3" w:rsidRPr="004F151F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lang w:val="en-US"/>
              </w:rPr>
            </w:pPr>
            <w:r w:rsidRPr="004F151F">
              <w:rPr>
                <w:rFonts w:ascii="Myriad Pro" w:hAnsi="Myriad Pro" w:cs="Calibri"/>
                <w:b/>
                <w:bCs/>
                <w:color w:val="auto"/>
                <w:lang w:val="en-US"/>
              </w:rPr>
              <w:t xml:space="preserve">AML Compliance Officer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643A3" w:rsidRPr="004F151F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lang w:val="en-US"/>
              </w:rPr>
            </w:pPr>
            <w:r w:rsidRPr="004F151F">
              <w:rPr>
                <w:rFonts w:ascii="Myriad Pro" w:hAnsi="Myriad Pro" w:cs="Calibri"/>
                <w:b/>
                <w:bCs/>
                <w:color w:val="auto"/>
                <w:lang w:val="en-US"/>
              </w:rPr>
              <w:t>Nombre/Full Name: (8)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ED7C72" w:rsidTr="00A31F8A">
        <w:trPr>
          <w:trHeight w:val="165"/>
        </w:trPr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4F151F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lang w:val="en-US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643A3" w:rsidRPr="004F151F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lang w:val="en-US"/>
              </w:rPr>
            </w:pPr>
            <w:r w:rsidRPr="004F151F">
              <w:rPr>
                <w:rFonts w:ascii="Myriad Pro" w:hAnsi="Myriad Pro" w:cs="Calibri"/>
                <w:b/>
                <w:bCs/>
                <w:color w:val="auto"/>
                <w:lang w:val="en-US"/>
              </w:rPr>
              <w:t xml:space="preserve">Cargo/ Title: (9) 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ED7C72" w:rsidTr="00A31F8A">
        <w:trPr>
          <w:trHeight w:val="165"/>
        </w:trPr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4F151F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lang w:val="en-US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643A3" w:rsidRPr="004F151F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lang w:val="en-US"/>
              </w:rPr>
            </w:pPr>
            <w:r w:rsidRPr="004F151F">
              <w:rPr>
                <w:rFonts w:ascii="Myriad Pro" w:hAnsi="Myriad Pro" w:cs="Calibri"/>
                <w:b/>
                <w:bCs/>
                <w:color w:val="auto"/>
                <w:lang w:val="en-US"/>
              </w:rPr>
              <w:t>Tel fNo: (10)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ED7C72" w:rsidTr="00A31F8A">
        <w:trPr>
          <w:trHeight w:val="170"/>
        </w:trPr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4F151F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lang w:val="en-US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643A3" w:rsidRPr="004F151F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lang w:val="en-US"/>
              </w:rPr>
            </w:pPr>
            <w:r w:rsidRPr="004F151F">
              <w:rPr>
                <w:rFonts w:ascii="Myriad Pro" w:hAnsi="Myriad Pro" w:cs="Calibri"/>
                <w:b/>
                <w:bCs/>
                <w:color w:val="auto"/>
                <w:lang w:val="en-US"/>
              </w:rPr>
              <w:t>E-mail  (11)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</w:tbl>
    <w:p w:rsidR="007643A3" w:rsidRPr="00ED7C72" w:rsidRDefault="007643A3" w:rsidP="007643A3">
      <w:pPr>
        <w:spacing w:after="0"/>
        <w:rPr>
          <w:rFonts w:ascii="Myriad Pro" w:hAnsi="Myriad Pro" w:cs="Calibri"/>
          <w:sz w:val="28"/>
          <w:szCs w:val="28"/>
          <w:lang w:val="en-US"/>
        </w:rPr>
      </w:pPr>
    </w:p>
    <w:tbl>
      <w:tblPr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5"/>
        <w:gridCol w:w="570"/>
        <w:gridCol w:w="342"/>
        <w:gridCol w:w="229"/>
      </w:tblGrid>
      <w:tr w:rsidR="007643A3" w:rsidRPr="00ED7C72" w:rsidTr="00A31F8A">
        <w:trPr>
          <w:trHeight w:val="143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23E4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b/>
                <w:bCs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b/>
                <w:bCs/>
                <w:color w:val="auto"/>
                <w:sz w:val="28"/>
                <w:szCs w:val="28"/>
                <w:lang w:val="en-US"/>
              </w:rPr>
              <w:t>(12)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23E4F"/>
            <w:vAlign w:val="center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  <w:t>Y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23E4F"/>
            <w:vAlign w:val="center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  <w:t>N</w:t>
            </w:r>
          </w:p>
        </w:tc>
      </w:tr>
      <w:tr w:rsidR="007643A3" w:rsidRPr="00CC3849" w:rsidTr="00A31F8A">
        <w:trPr>
          <w:trHeight w:val="143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b/>
                <w:bCs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If</w:t>
            </w:r>
            <w:r w:rsidRPr="00ED7C72">
              <w:rPr>
                <w:rFonts w:ascii="Myriad Pro" w:eastAsia="Verdana" w:hAnsi="Myriad Pro"/>
                <w:color w:val="auto"/>
                <w:spacing w:val="-2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pacing w:val="-1"/>
                <w:sz w:val="28"/>
                <w:szCs w:val="28"/>
                <w:lang w:val="en-US"/>
              </w:rPr>
              <w:t>you answer “no”</w:t>
            </w:r>
            <w:r w:rsidRPr="00ED7C72">
              <w:rPr>
                <w:rFonts w:ascii="Myriad Pro" w:eastAsia="Verdana" w:hAnsi="Myriad Pro"/>
                <w:color w:val="auto"/>
                <w:spacing w:val="-2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to</w:t>
            </w:r>
            <w:r w:rsidRPr="00ED7C72">
              <w:rPr>
                <w:rFonts w:ascii="Myriad Pro" w:eastAsia="Verdana" w:hAnsi="Myriad Pro"/>
                <w:color w:val="auto"/>
                <w:spacing w:val="-1"/>
                <w:sz w:val="28"/>
                <w:szCs w:val="28"/>
                <w:lang w:val="en-US"/>
              </w:rPr>
              <w:t xml:space="preserve"> any</w:t>
            </w:r>
            <w:r w:rsidRPr="00ED7C72">
              <w:rPr>
                <w:rFonts w:ascii="Myriad Pro" w:eastAsia="Verdana" w:hAnsi="Myriad Pro"/>
                <w:color w:val="auto"/>
                <w:spacing w:val="-3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pacing w:val="-1"/>
                <w:sz w:val="28"/>
                <w:szCs w:val="28"/>
                <w:lang w:val="en-US"/>
              </w:rPr>
              <w:t>question,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pacing w:val="-1"/>
                <w:sz w:val="28"/>
                <w:szCs w:val="28"/>
                <w:lang w:val="en-US"/>
              </w:rPr>
              <w:t>additional</w:t>
            </w:r>
            <w:r w:rsidRPr="00ED7C72">
              <w:rPr>
                <w:rFonts w:ascii="Myriad Pro" w:eastAsia="Verdana" w:hAnsi="Myriad Pro"/>
                <w:color w:val="auto"/>
                <w:spacing w:val="-2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pacing w:val="-1"/>
                <w:sz w:val="28"/>
                <w:szCs w:val="28"/>
                <w:lang w:val="en-US"/>
              </w:rPr>
              <w:t xml:space="preserve">information 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can</w:t>
            </w:r>
            <w:r w:rsidRPr="00ED7C72">
              <w:rPr>
                <w:rFonts w:ascii="Myriad Pro" w:eastAsia="Verdana" w:hAnsi="Myriad Pro"/>
                <w:color w:val="auto"/>
                <w:spacing w:val="-2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be</w:t>
            </w:r>
            <w:r w:rsidRPr="00ED7C72">
              <w:rPr>
                <w:rFonts w:ascii="Myriad Pro" w:eastAsia="Verdana" w:hAnsi="Myriad Pro"/>
                <w:color w:val="auto"/>
                <w:spacing w:val="-1"/>
                <w:sz w:val="28"/>
                <w:szCs w:val="28"/>
                <w:lang w:val="en-US"/>
              </w:rPr>
              <w:t xml:space="preserve"> supplied</w:t>
            </w:r>
            <w:r w:rsidRPr="00ED7C72">
              <w:rPr>
                <w:rFonts w:ascii="Myriad Pro" w:eastAsia="Verdana" w:hAnsi="Myriad Pro"/>
                <w:color w:val="auto"/>
                <w:spacing w:val="-2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pacing w:val="-1"/>
                <w:sz w:val="28"/>
                <w:szCs w:val="28"/>
                <w:lang w:val="en-US"/>
              </w:rPr>
              <w:t>at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pacing w:val="-1"/>
                <w:sz w:val="28"/>
                <w:szCs w:val="28"/>
                <w:lang w:val="en-US"/>
              </w:rPr>
              <w:t>the</w:t>
            </w:r>
            <w:r w:rsidRPr="00ED7C72">
              <w:rPr>
                <w:rFonts w:ascii="Myriad Pro" w:eastAsia="Verdana" w:hAnsi="Myriad Pro"/>
                <w:color w:val="auto"/>
                <w:spacing w:val="51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end</w:t>
            </w:r>
            <w:r w:rsidRPr="00ED7C72">
              <w:rPr>
                <w:rFonts w:ascii="Myriad Pro" w:eastAsia="Verdana" w:hAnsi="Myriad Pro"/>
                <w:color w:val="auto"/>
                <w:spacing w:val="-2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of</w:t>
            </w:r>
            <w:r w:rsidRPr="00ED7C72">
              <w:rPr>
                <w:rFonts w:ascii="Myriad Pro" w:eastAsia="Verdana" w:hAnsi="Myriad Pro"/>
                <w:color w:val="auto"/>
                <w:spacing w:val="-2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pacing w:val="-1"/>
                <w:sz w:val="28"/>
                <w:szCs w:val="28"/>
                <w:lang w:val="en-US"/>
              </w:rPr>
              <w:t>the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pacing w:val="-1"/>
                <w:sz w:val="28"/>
                <w:szCs w:val="28"/>
                <w:lang w:val="en-US"/>
              </w:rPr>
              <w:t>questionnaire.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ED7C72" w:rsidTr="00A31F8A">
        <w:trPr>
          <w:trHeight w:val="143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23E4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b/>
                <w:bCs/>
                <w:color w:val="auto"/>
                <w:sz w:val="28"/>
                <w:szCs w:val="28"/>
                <w:lang w:val="en-US"/>
              </w:rPr>
              <w:t xml:space="preserve">I. General AML Policies, Practices and Procedures: 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23E4F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  <w:t>Yes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23E4F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  <w:t>No</w:t>
            </w:r>
          </w:p>
        </w:tc>
      </w:tr>
      <w:tr w:rsidR="007643A3" w:rsidRPr="00CC3849" w:rsidTr="00A31F8A">
        <w:trPr>
          <w:trHeight w:val="225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>1.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 xml:space="preserve"> ¿Está el programa de cumplimento antilavado aprobado por la dirección de la IF o por un comité superior?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color w:val="auto"/>
                <w:sz w:val="28"/>
                <w:szCs w:val="28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pacing w:val="-2"/>
                <w:sz w:val="28"/>
                <w:szCs w:val="28"/>
                <w:lang w:val="en-US"/>
              </w:rPr>
              <w:t>Is</w:t>
            </w:r>
            <w:r w:rsidRPr="00ED7C72">
              <w:rPr>
                <w:rFonts w:ascii="Myriad Pro" w:eastAsia="Verdana" w:hAnsi="Myriad Pro"/>
                <w:color w:val="auto"/>
                <w:spacing w:val="-3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the</w:t>
            </w:r>
            <w:r w:rsidRPr="00ED7C72">
              <w:rPr>
                <w:rFonts w:ascii="Myriad Pro" w:eastAsia="Verdana" w:hAnsi="Myriad Pro"/>
                <w:color w:val="auto"/>
                <w:spacing w:val="-7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AML</w:t>
            </w:r>
            <w:r w:rsidRPr="00ED7C72">
              <w:rPr>
                <w:rFonts w:ascii="Myriad Pro" w:eastAsia="Verdana" w:hAnsi="Myriad Pro"/>
                <w:color w:val="auto"/>
                <w:spacing w:val="-4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compliance</w:t>
            </w:r>
            <w:r w:rsidRPr="00ED7C72">
              <w:rPr>
                <w:rFonts w:ascii="Myriad Pro" w:eastAsia="Verdana" w:hAnsi="Myriad Pro"/>
                <w:color w:val="auto"/>
                <w:spacing w:val="-8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program</w:t>
            </w:r>
            <w:r w:rsidRPr="00ED7C72">
              <w:rPr>
                <w:rFonts w:ascii="Myriad Pro" w:eastAsia="Verdana" w:hAnsi="Myriad Pro"/>
                <w:color w:val="auto"/>
                <w:spacing w:val="-4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approved</w:t>
            </w:r>
            <w:r w:rsidRPr="00ED7C72">
              <w:rPr>
                <w:rFonts w:ascii="Myriad Pro" w:eastAsia="Verdana" w:hAnsi="Myriad Pro"/>
                <w:color w:val="auto"/>
                <w:spacing w:val="-5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by</w:t>
            </w:r>
            <w:r w:rsidRPr="00ED7C72">
              <w:rPr>
                <w:rFonts w:ascii="Myriad Pro" w:eastAsia="Verdana" w:hAnsi="Myriad Pro"/>
                <w:color w:val="auto"/>
                <w:spacing w:val="-3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the</w:t>
            </w:r>
            <w:r w:rsidRPr="00ED7C72">
              <w:rPr>
                <w:rFonts w:ascii="Myriad Pro" w:eastAsia="Verdana" w:hAnsi="Myriad Pro"/>
                <w:color w:val="auto"/>
                <w:spacing w:val="-7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pacing w:val="1"/>
                <w:sz w:val="28"/>
                <w:szCs w:val="28"/>
                <w:lang w:val="en-US"/>
              </w:rPr>
              <w:t>FI’s</w:t>
            </w:r>
            <w:r w:rsidRPr="00ED7C72">
              <w:rPr>
                <w:rFonts w:ascii="Myriad Pro" w:eastAsia="Verdana" w:hAnsi="Myriad Pro"/>
                <w:color w:val="auto"/>
                <w:spacing w:val="-6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board</w:t>
            </w:r>
            <w:r w:rsidRPr="00ED7C72">
              <w:rPr>
                <w:rFonts w:ascii="Myriad Pro" w:eastAsia="Verdana" w:hAnsi="Myriad Pro"/>
                <w:color w:val="auto"/>
                <w:spacing w:val="-4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or</w:t>
            </w:r>
            <w:r w:rsidRPr="00ED7C72">
              <w:rPr>
                <w:rFonts w:ascii="Myriad Pro" w:eastAsia="Verdana" w:hAnsi="Myriad Pro"/>
                <w:color w:val="auto"/>
                <w:spacing w:val="-6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a</w:t>
            </w:r>
            <w:r w:rsidRPr="00ED7C72">
              <w:rPr>
                <w:rFonts w:ascii="Myriad Pro" w:eastAsia="Verdana" w:hAnsi="Myriad Pro"/>
                <w:color w:val="auto"/>
                <w:spacing w:val="26"/>
                <w:w w:val="99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senior</w:t>
            </w:r>
            <w:r w:rsidRPr="00ED7C72">
              <w:rPr>
                <w:rFonts w:ascii="Myriad Pro" w:eastAsia="Verdana" w:hAnsi="Myriad Pro"/>
                <w:color w:val="auto"/>
                <w:spacing w:val="-18"/>
                <w:sz w:val="28"/>
                <w:szCs w:val="28"/>
                <w:lang w:val="en-US"/>
              </w:rPr>
              <w:t xml:space="preserve"> </w:t>
            </w:r>
            <w:r w:rsidRPr="00ED7C72">
              <w:rPr>
                <w:rFonts w:ascii="Myriad Pro" w:eastAsia="Verdana" w:hAnsi="Myriad Pro"/>
                <w:color w:val="auto"/>
                <w:sz w:val="28"/>
                <w:szCs w:val="28"/>
                <w:lang w:val="en-US"/>
              </w:rPr>
              <w:t>committee?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585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 xml:space="preserve">2. 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¿Tiene la IF un programa legal y regulador de cumplimento que nombre a un oficial responsable de coordinar y supervisar el marco antilavado?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Does the FI have a legal and regulatory compliance program that includes a designated officer that is responsible for a coordinating and overseeing the AML framework?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341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 xml:space="preserve">3. 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¿Tiene la IF normas escritas que documenten los procesos implementados para prevenir, detectar e informar de cualquier transacción sospechosa?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Has the FI developed written policies documenting the processes that they have in place to prevent, detect and report suspicious transactions?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357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 xml:space="preserve">4. 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Además de las inspecciones llevadas a cabo por los supervisores/organismos reguladores del gobierno, ¿tiene la IF una función de auditoría interna o cualquier otra que evalúe las normativas de manera frecuente?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In addition to inspections by the government supervisors/regulators, does the FI client have an internal audit function or other independent third party that assesses AML policies and practices on a regular basis?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227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 xml:space="preserve">5. 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 xml:space="preserve">¿Tiene la IF una normativa que prohíba cuentas/relaciones con </w:t>
            </w:r>
            <w:r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Banco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 xml:space="preserve">s pantalla? (Un </w:t>
            </w:r>
            <w:r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Banco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 xml:space="preserve"> pantalla se define como un </w:t>
            </w:r>
            <w:r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Banco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 xml:space="preserve"> incorporado a una jurisdicción en la cual no tiene presencia física y el cual no este afiliado a ningún grupo financiero regulado)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Does the FI have a policy prohibiting accounts/relationships with shell banks? (A shell bank is defined as a bank incorporated in a jurisdiction in which it has no physical presence and which is unaffiliated with a regulated financial group)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227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lastRenderedPageBreak/>
              <w:t xml:space="preserve">6. 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 xml:space="preserve">¿Tiene la IF una normativa para asegurarse de que no se realicen transacciones con o de parte de </w:t>
            </w:r>
            <w:r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Banco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s pantalla a través de sus cuentas o productos?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Does the FI have policies to reasonably ensure that they will not conduct transactions with or on behalf of shell banks through any of its accounts or products?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230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 xml:space="preserve">7. 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¿Tiene la IF una normativa que controle las relaciones con Personas   Políticamente Expuestas (PPE), su familia y asociados más cercanos?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Does the FI have policies covering relationships with Politically Exposed Persons (PEP’s), their family and close associates?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338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>8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¿Tiene la IF procedimientos para el registro y conservación de la documentación e información que cumpla con la legislación?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Does the FI have record retention procedures that comply with applicable law?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338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9.¿Se aplican las normas y procedimientos antilavado de la IF a todas las sucursales y subsidiarias en el país de origen y en otras ubicaciones fuera de esa jurisdicción?</w:t>
            </w:r>
          </w:p>
          <w:p w:rsidR="007643A3" w:rsidRPr="00ED7C72" w:rsidRDefault="007643A3" w:rsidP="00A31F8A">
            <w:pPr>
              <w:spacing w:after="0"/>
              <w:jc w:val="both"/>
              <w:rPr>
                <w:rFonts w:ascii="Myriad Pro" w:hAnsi="Myriad Pro" w:cs="Calibri"/>
                <w:sz w:val="28"/>
                <w:szCs w:val="28"/>
                <w:lang w:val="en-US"/>
              </w:rPr>
            </w:pPr>
            <w:r w:rsidRPr="00ED7C72">
              <w:rPr>
                <w:rFonts w:ascii="Myriad Pro" w:eastAsia="Times New Roman" w:hAnsi="Myriad Pro"/>
                <w:i/>
                <w:sz w:val="28"/>
                <w:szCs w:val="28"/>
                <w:lang w:val="en-US" w:eastAsia="es-ES"/>
              </w:rPr>
              <w:t>Are the FI’s AML policies and practices being applied to all branches and subsidiaries of the FI both in the home country and in locations outside of that jurisdiction?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ED7C72" w:rsidTr="00A31F8A">
        <w:trPr>
          <w:trHeight w:val="158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323E4F"/>
            <w:vAlign w:val="center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</w:rPr>
            </w:pPr>
            <w:r w:rsidRPr="00ED7C72">
              <w:rPr>
                <w:rFonts w:ascii="Myriad Pro" w:hAnsi="Myriad Pro" w:cs="Calibri"/>
                <w:b/>
                <w:bCs/>
                <w:color w:val="auto"/>
                <w:sz w:val="28"/>
                <w:szCs w:val="28"/>
              </w:rPr>
              <w:t xml:space="preserve">II. Evaluación de los Riesgos / Risk Assessment:  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323E4F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  <w:t>Yes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323E4F"/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  <w:t>No</w:t>
            </w:r>
          </w:p>
        </w:tc>
      </w:tr>
      <w:tr w:rsidR="007643A3" w:rsidRPr="00CC3849" w:rsidTr="00A31F8A">
        <w:trPr>
          <w:trHeight w:val="227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10. Evalúa la IF los riesgos de los clientes en base a sus transacciones?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Does the FI have a risk-based assessment of its customer base and their transactions?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jc w:val="center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281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>11.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 xml:space="preserve"> ¿Determina la IF el nivel apropiado de la debida diligencia necesaria para aquellas categorías de clientes y transacciones que la IF crea que puedan   representar un riesgo de actividades ilegales?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Does the FI determine the appropriate level of enhanced due diligence necessary for those categories of customers and transactions that the FI has reason to believe pose a heightened risk of illicit activities at or through the FI?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ED7C72" w:rsidTr="00A31F8A">
        <w:trPr>
          <w:trHeight w:val="281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323E4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b/>
                <w:color w:val="auto"/>
                <w:sz w:val="28"/>
                <w:szCs w:val="28"/>
              </w:rPr>
            </w:pPr>
            <w:r w:rsidRPr="00ED7C72">
              <w:rPr>
                <w:rFonts w:ascii="Myriad Pro" w:hAnsi="Myriad Pro" w:cs="Calibri"/>
                <w:b/>
                <w:color w:val="auto"/>
                <w:sz w:val="28"/>
                <w:szCs w:val="28"/>
              </w:rPr>
              <w:t xml:space="preserve">III Conozca A Su Cliente, Debida Diligencia y Debida Diligencia Ampliada /Know Your Customer, Due Diligence and Enhanced Due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323E4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  <w:t>Yes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323E4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  <w:t>No</w:t>
            </w:r>
          </w:p>
        </w:tc>
      </w:tr>
      <w:tr w:rsidR="007643A3" w:rsidRPr="00CC3849" w:rsidTr="00A31F8A">
        <w:trPr>
          <w:trHeight w:val="227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  <w:lang w:val="es-US"/>
              </w:rPr>
              <w:lastRenderedPageBreak/>
              <w:t xml:space="preserve">12. 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¿Ha implementado la IF procesos para identificar a aquellos clientes en cuya representación mantiene u opera cuentas o lleva a cabo transacciones?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Has the FI implemented processes for the identification of those customers on whose behalf it maintains or operates accounts or conducts transactions?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230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 xml:space="preserve">13. 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¿Recopila la IF información con respecto a las actividades de los negocios de sus clientes?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Does the FI have a requirement to collect information regarding its customers’ business activities?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341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 xml:space="preserve">14. 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¿Evalúa la IF las normas y procedimientos antilavado de sus clientes?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Does the FI assess its FI customers’ AML policies or practices?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341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 xml:space="preserve">15. 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¿Tiene la IF un procedimiento para revisar y, cuando sea necesario, actualizar la información del cliente de alto riesgo?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Does the FI have a process to review and, where appropriate, update customer information relating to high risk client information?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230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 xml:space="preserve">16. 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¿Tiene la IF los procedimientos necesarios para registrar datos para cada nuevo cliente teniendo en cuenta sus documentos de identificación y la información de "Conozca a Su Cliente"?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Does the FI have procedures to establish a record for each new customer noting their respective identification documents and “Know Your Customer” information?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227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>17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¿La IF realiza una evaluación del riesgo para entender la operatoria normal de sus clientes?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Does the FI complete a risk-based assessment to understand the normal and expected transactions of its customers?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ED7C72" w:rsidTr="00A31F8A">
        <w:trPr>
          <w:trHeight w:val="227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23E4F"/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hAnsi="Myriad Pro" w:cs="Calibri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/>
                <w:b/>
                <w:sz w:val="28"/>
                <w:szCs w:val="28"/>
                <w:lang w:val="en-US"/>
              </w:rPr>
              <w:t xml:space="preserve">IV. Reporte de Operaciones, Prevención y Detección de Transacciones con Fondos Ilícitos / </w:t>
            </w:r>
            <w:r w:rsidRPr="00ED7C72">
              <w:rPr>
                <w:rFonts w:ascii="Myriad Pro" w:hAnsi="Myriad Pro"/>
                <w:b/>
                <w:i/>
                <w:sz w:val="28"/>
                <w:szCs w:val="28"/>
                <w:lang w:val="en-US"/>
              </w:rPr>
              <w:t>Reportable Transactions and Prevention and Detection of Transactions with Illegally Obtained Funds</w:t>
            </w:r>
            <w:r w:rsidRPr="00ED7C72">
              <w:rPr>
                <w:rFonts w:ascii="Myriad Pro" w:hAnsi="Myriad Pro"/>
                <w:b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23E4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  <w:t>Yes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23E4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  <w:t>No</w:t>
            </w:r>
          </w:p>
        </w:tc>
      </w:tr>
      <w:tr w:rsidR="007643A3" w:rsidRPr="00CC3849" w:rsidTr="00A31F8A">
        <w:trPr>
          <w:trHeight w:val="676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 xml:space="preserve">18. 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¿Tiene la IF normas y procedimientos para la identificación y denuncia de transacciones de las cuales las autoridades deben ser informadas?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Does the FI have policies or practices for the identification and reporting of transactions that are required to be reported to the authorities?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563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lastRenderedPageBreak/>
              <w:t xml:space="preserve">19. 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¿Para los casos de transacciones en efectivo cuyos montos requieran ser reportados, tiene la IF procedimientos para identificar transacciones   estructuradas?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Where cash transaction reporting is mandatory, does the FI have procedures to identify transactions structured to avoid such obligations?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341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>20.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¿La IF filtra a sus clientes y transacciones comparándoles con listas de personas, entidades o países expedidas por el gobierno/ autoridades competentes?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Does the FI screen customers and transactions against lists of persons, entities or countries issued by government/competent authorities?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341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 xml:space="preserve">21. 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 xml:space="preserve">¿Tiene la IF normas razonables para asegurarse de que solo opera con </w:t>
            </w:r>
            <w:r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Banco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s corresponsales que poseen licencia para operar en sus países de origen?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Does the FI have policies to reasonably ensure that it only operates with correspondent banks that possess licenses to operate in their countries of origin?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563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  <w:t>22. Does the FI adhere to the Wolfsberg Transparency Principles and the appropriate usage of the SWIF MT 202/202 COV and MT 205/205 COV message formats?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ED7C72" w:rsidTr="00A31F8A">
        <w:trPr>
          <w:trHeight w:val="563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23E4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</w:rPr>
            </w:pPr>
            <w:r w:rsidRPr="00ED7C72">
              <w:rPr>
                <w:rFonts w:ascii="Myriad Pro" w:hAnsi="Myriad Pro" w:cs="Calibri"/>
                <w:b/>
                <w:color w:val="auto"/>
                <w:sz w:val="28"/>
                <w:szCs w:val="28"/>
              </w:rPr>
              <w:t>V. Monitoreo de Operaciones/</w:t>
            </w:r>
            <w:r w:rsidRPr="00ED7C72">
              <w:rPr>
                <w:rFonts w:ascii="Myriad Pro" w:hAnsi="Myriad Pro" w:cs="Calibri"/>
                <w:b/>
                <w:i/>
                <w:color w:val="auto"/>
                <w:sz w:val="28"/>
                <w:szCs w:val="28"/>
              </w:rPr>
              <w:t xml:space="preserve">Transaction Monitoring. </w:t>
            </w:r>
            <w:r w:rsidRPr="00ED7C72">
              <w:rPr>
                <w:rFonts w:ascii="Myriad Pro" w:hAnsi="Myriad Pro" w:cs="Calibri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23E4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  <w:t>Yes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23E4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Calibri"/>
                <w:b/>
                <w:color w:val="auto"/>
                <w:sz w:val="28"/>
                <w:szCs w:val="28"/>
                <w:lang w:val="en-US"/>
              </w:rPr>
              <w:t>No</w:t>
            </w:r>
          </w:p>
        </w:tc>
      </w:tr>
      <w:tr w:rsidR="007643A3" w:rsidRPr="00CC3849" w:rsidTr="00A31F8A">
        <w:trPr>
          <w:trHeight w:val="230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 xml:space="preserve">23. 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¿Tiene la IF un programa de seguimiento para actividades potencialmente sospechosas que abarquen transferencias de fondos e instrumentos de pago?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Does the FI have a monitoring program for unusual and potentially suspicious activity that covers funds transfers and monetary instruments such as travelers checks, money orders, etc.?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448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t xml:space="preserve">24. 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Incluye la IF lo siguiente en la formación para empleados:</w:t>
            </w:r>
          </w:p>
          <w:p w:rsidR="007643A3" w:rsidRPr="00ED7C72" w:rsidRDefault="007643A3" w:rsidP="007643A3">
            <w:pPr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Identificación y denuncia de transacciones de las cuales deba informarse a las autoridades competentes.</w:t>
            </w:r>
          </w:p>
          <w:p w:rsidR="007643A3" w:rsidRPr="00ED7C72" w:rsidRDefault="007643A3" w:rsidP="007643A3">
            <w:pPr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Ejemplos de diferentes formas de lavado de dinero que impliquen los productos y servicios de la IF.</w:t>
            </w:r>
          </w:p>
          <w:p w:rsidR="007643A3" w:rsidRPr="00ED7C72" w:rsidRDefault="007643A3" w:rsidP="007643A3">
            <w:pPr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Normativas internas para prevenir el blanqueo de dinero.</w:t>
            </w:r>
          </w:p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i/>
                <w:sz w:val="28"/>
                <w:szCs w:val="28"/>
                <w:lang w:val="en-US" w:eastAsia="es-ES"/>
              </w:rPr>
            </w:pPr>
            <w:r w:rsidRPr="00ED7C72">
              <w:rPr>
                <w:rFonts w:ascii="Myriad Pro" w:eastAsia="Times New Roman" w:hAnsi="Myriad Pro"/>
                <w:i/>
                <w:sz w:val="28"/>
                <w:szCs w:val="28"/>
                <w:lang w:val="en-US" w:eastAsia="es-ES"/>
              </w:rPr>
              <w:t>Does the FI provide AML training to relevant employees that includes:</w:t>
            </w:r>
          </w:p>
          <w:p w:rsidR="007643A3" w:rsidRPr="00ED7C72" w:rsidRDefault="007643A3" w:rsidP="007643A3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Myriad Pro" w:eastAsia="Times New Roman" w:hAnsi="Myriad Pro"/>
                <w:i/>
                <w:sz w:val="28"/>
                <w:szCs w:val="28"/>
                <w:lang w:val="en-US" w:eastAsia="es-ES"/>
              </w:rPr>
            </w:pPr>
            <w:r w:rsidRPr="00ED7C72">
              <w:rPr>
                <w:rFonts w:ascii="Myriad Pro" w:eastAsia="Times New Roman" w:hAnsi="Myriad Pro"/>
                <w:i/>
                <w:sz w:val="28"/>
                <w:szCs w:val="28"/>
                <w:lang w:val="en-US" w:eastAsia="es-ES"/>
              </w:rPr>
              <w:lastRenderedPageBreak/>
              <w:t>Identification and reporting of transactions that must be reported to government authorities.</w:t>
            </w:r>
          </w:p>
          <w:p w:rsidR="007643A3" w:rsidRPr="00ED7C72" w:rsidRDefault="007643A3" w:rsidP="007643A3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Myriad Pro" w:eastAsia="Times New Roman" w:hAnsi="Myriad Pro"/>
                <w:i/>
                <w:sz w:val="28"/>
                <w:szCs w:val="28"/>
                <w:lang w:val="en-US" w:eastAsia="es-ES"/>
              </w:rPr>
            </w:pPr>
            <w:r w:rsidRPr="00ED7C72">
              <w:rPr>
                <w:rFonts w:ascii="Myriad Pro" w:eastAsia="Times New Roman" w:hAnsi="Myriad Pro"/>
                <w:i/>
                <w:sz w:val="28"/>
                <w:szCs w:val="28"/>
                <w:lang w:val="en-US" w:eastAsia="es-ES"/>
              </w:rPr>
              <w:t>Examples of different forms of money laundering involving the FI’s products and services.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Internal policies to prevent money laundering.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230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hAnsi="Myriad Pro" w:cs="Calibri"/>
                <w:sz w:val="28"/>
                <w:szCs w:val="28"/>
              </w:rPr>
              <w:lastRenderedPageBreak/>
              <w:t>25.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 xml:space="preserve"> ¿Mantiene la IF archivos de las sesiones de formación que incluyen documentos de asistencia y de materiales educativos?</w:t>
            </w:r>
          </w:p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  <w:r w:rsidRPr="00ED7C72">
              <w:rPr>
                <w:rFonts w:ascii="Myriad Pro" w:hAnsi="Myriad Pro" w:cs="Times New Roman"/>
                <w:i/>
                <w:color w:val="auto"/>
                <w:sz w:val="28"/>
                <w:szCs w:val="28"/>
                <w:lang w:val="en-US"/>
              </w:rPr>
              <w:t>Does the FI retain records of its training sessions including attendance records and relevant training materials used?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230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26. ¿Comunica la IF nuevas leyes o prácticas para el lavado de dinero o cambios   de normativas existentes antilavado a los empleados?</w:t>
            </w:r>
          </w:p>
          <w:p w:rsidR="007643A3" w:rsidRPr="00ED7C72" w:rsidRDefault="007643A3" w:rsidP="00A31F8A">
            <w:pPr>
              <w:spacing w:after="0"/>
              <w:jc w:val="both"/>
              <w:rPr>
                <w:rFonts w:ascii="Myriad Pro" w:hAnsi="Myriad Pro" w:cs="Calibri"/>
                <w:sz w:val="28"/>
                <w:szCs w:val="28"/>
                <w:lang w:val="en-US"/>
              </w:rPr>
            </w:pPr>
            <w:r w:rsidRPr="00ED7C72">
              <w:rPr>
                <w:rFonts w:ascii="Myriad Pro" w:eastAsia="Times New Roman" w:hAnsi="Myriad Pro"/>
                <w:i/>
                <w:sz w:val="28"/>
                <w:szCs w:val="28"/>
                <w:lang w:val="en-US" w:eastAsia="es-ES"/>
              </w:rPr>
              <w:t>Does the FI communicate new AML related laws or changes to existing AML related policies or practices to relevant employees?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230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27. ¿Emplea la IF terceras partes para realizar algunas funciones de la IF?</w:t>
            </w:r>
          </w:p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val="en-US" w:eastAsia="es-ES"/>
              </w:rPr>
            </w:pPr>
            <w:r w:rsidRPr="00ED7C72">
              <w:rPr>
                <w:rFonts w:ascii="Myriad Pro" w:eastAsia="Times New Roman" w:hAnsi="Myriad Pro"/>
                <w:i/>
                <w:sz w:val="28"/>
                <w:szCs w:val="28"/>
                <w:lang w:val="en-US" w:eastAsia="es-ES"/>
              </w:rPr>
              <w:t>Does the FI employ third parties to carry out some of the functions of the FI?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rPr>
          <w:trHeight w:val="230"/>
        </w:trPr>
        <w:tc>
          <w:tcPr>
            <w:tcW w:w="9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7643A3">
            <w:pPr>
              <w:pStyle w:val="Prrafodelista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Si ha respondido si a la pregunta 27, proporcione la IF formación a terceras   partes relevantes que incluya?:</w:t>
            </w:r>
          </w:p>
          <w:p w:rsidR="007643A3" w:rsidRPr="00ED7C72" w:rsidRDefault="007643A3" w:rsidP="007643A3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Identificación y denuncia de transacciones de las cuales deba informarse a las autoridades gubernamentales.</w:t>
            </w:r>
          </w:p>
          <w:p w:rsidR="007643A3" w:rsidRPr="00ED7C72" w:rsidRDefault="007643A3" w:rsidP="007643A3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Ejemplos de diferentes formas de blanqueo de dinero que impliquen productos y servicios de la IF.</w:t>
            </w:r>
          </w:p>
          <w:p w:rsidR="007643A3" w:rsidRPr="00ED7C72" w:rsidRDefault="007643A3" w:rsidP="007643A3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Normativas internas para prevenir el lavado de dinero.</w:t>
            </w:r>
          </w:p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i/>
                <w:sz w:val="28"/>
                <w:szCs w:val="28"/>
                <w:lang w:val="en-US" w:eastAsia="es-ES"/>
              </w:rPr>
            </w:pPr>
            <w:r w:rsidRPr="00ED7C72">
              <w:rPr>
                <w:rFonts w:ascii="Myriad Pro" w:eastAsia="Times New Roman" w:hAnsi="Myriad Pro"/>
                <w:i/>
                <w:sz w:val="28"/>
                <w:szCs w:val="28"/>
                <w:lang w:val="en-US" w:eastAsia="es-ES"/>
              </w:rPr>
              <w:t>If the answer to question 27 is yes, does the FI provide AML training to relevant third parties that includes:</w:t>
            </w:r>
          </w:p>
          <w:p w:rsidR="007643A3" w:rsidRPr="00ED7C72" w:rsidRDefault="007643A3" w:rsidP="007643A3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Myriad Pro" w:eastAsia="Times New Roman" w:hAnsi="Myriad Pro"/>
                <w:i/>
                <w:sz w:val="28"/>
                <w:szCs w:val="28"/>
                <w:lang w:val="en-US" w:eastAsia="es-ES"/>
              </w:rPr>
            </w:pPr>
            <w:r w:rsidRPr="00ED7C72">
              <w:rPr>
                <w:rFonts w:ascii="Myriad Pro" w:eastAsia="Times New Roman" w:hAnsi="Myriad Pro"/>
                <w:i/>
                <w:sz w:val="28"/>
                <w:szCs w:val="28"/>
                <w:lang w:val="en-US" w:eastAsia="es-ES"/>
              </w:rPr>
              <w:t>Identification and reporting of transactions that must be reported to government authorities.</w:t>
            </w:r>
          </w:p>
          <w:p w:rsidR="007643A3" w:rsidRPr="00ED7C72" w:rsidRDefault="007643A3" w:rsidP="007643A3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Myriad Pro" w:eastAsia="Times New Roman" w:hAnsi="Myriad Pro"/>
                <w:i/>
                <w:sz w:val="28"/>
                <w:szCs w:val="28"/>
                <w:lang w:val="en-US" w:eastAsia="es-ES"/>
              </w:rPr>
            </w:pPr>
            <w:r w:rsidRPr="00ED7C72">
              <w:rPr>
                <w:rFonts w:ascii="Myriad Pro" w:eastAsia="Times New Roman" w:hAnsi="Myriad Pro"/>
                <w:i/>
                <w:sz w:val="28"/>
                <w:szCs w:val="28"/>
                <w:lang w:val="en-US" w:eastAsia="es-ES"/>
              </w:rPr>
              <w:t>Examples of different forms of money laundering involving the FI’s products and services.</w:t>
            </w:r>
          </w:p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val="en-US" w:eastAsia="es-ES"/>
              </w:rPr>
            </w:pPr>
            <w:r w:rsidRPr="00ED7C72">
              <w:rPr>
                <w:rFonts w:ascii="Myriad Pro" w:eastAsia="Times New Roman" w:hAnsi="Myriad Pro"/>
                <w:i/>
                <w:sz w:val="28"/>
                <w:szCs w:val="28"/>
                <w:lang w:val="en-US" w:eastAsia="es-ES"/>
              </w:rPr>
              <w:t>Internal policies to prevent money laundering.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643A3" w:rsidRPr="00ED7C72" w:rsidRDefault="007643A3" w:rsidP="00A31F8A">
            <w:pPr>
              <w:pStyle w:val="Default"/>
              <w:spacing w:line="276" w:lineRule="auto"/>
              <w:rPr>
                <w:rFonts w:ascii="Myriad Pro" w:hAnsi="Myriad Pro" w:cs="Calibri"/>
                <w:color w:val="auto"/>
                <w:sz w:val="28"/>
                <w:szCs w:val="28"/>
                <w:lang w:val="en-US"/>
              </w:rPr>
            </w:pPr>
          </w:p>
        </w:tc>
      </w:tr>
      <w:tr w:rsidR="007643A3" w:rsidRPr="00CC3849" w:rsidTr="00A31F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9" w:type="dxa"/>
          <w:trHeight w:val="340"/>
          <w:jc w:val="center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Espacio para información adicional (13)</w:t>
            </w:r>
          </w:p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(Indique, por favor, la pregunta de referencia)</w:t>
            </w:r>
          </w:p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val="en-US"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val="en-US" w:eastAsia="es-ES"/>
              </w:rPr>
              <w:t>Space for additional information:</w:t>
            </w:r>
          </w:p>
          <w:p w:rsidR="007643A3" w:rsidRPr="00ED7C72" w:rsidRDefault="007643A3" w:rsidP="00A31F8A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val="en-US"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val="en-US" w:eastAsia="es-ES"/>
              </w:rPr>
              <w:t>(</w:t>
            </w:r>
            <w:r w:rsidRPr="00ED7C72">
              <w:rPr>
                <w:rFonts w:ascii="Myriad Pro" w:eastAsia="Times New Roman" w:hAnsi="Myriad Pro"/>
                <w:i/>
                <w:sz w:val="28"/>
                <w:szCs w:val="28"/>
                <w:lang w:val="en-US" w:eastAsia="es-ES"/>
              </w:rPr>
              <w:t>Please indicate which question the information is referring to.</w:t>
            </w:r>
            <w:r w:rsidRPr="00ED7C72">
              <w:rPr>
                <w:rFonts w:ascii="Myriad Pro" w:eastAsia="Times New Roman" w:hAnsi="Myriad Pro"/>
                <w:sz w:val="28"/>
                <w:szCs w:val="28"/>
                <w:lang w:val="en-US" w:eastAsia="es-ES"/>
              </w:rPr>
              <w:t>)</w:t>
            </w:r>
          </w:p>
        </w:tc>
      </w:tr>
      <w:tr w:rsidR="007643A3" w:rsidRPr="00CC3849" w:rsidTr="00A31F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9" w:type="dxa"/>
          <w:trHeight w:val="340"/>
          <w:jc w:val="center"/>
        </w:trPr>
        <w:tc>
          <w:tcPr>
            <w:tcW w:w="10227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vAlign w:val="center"/>
          </w:tcPr>
          <w:p w:rsidR="007643A3" w:rsidRPr="00ED7C72" w:rsidRDefault="007643A3" w:rsidP="00A31F8A">
            <w:pPr>
              <w:spacing w:after="0"/>
              <w:jc w:val="center"/>
              <w:rPr>
                <w:rFonts w:ascii="Myriad Pro" w:eastAsia="Times New Roman" w:hAnsi="Myriad Pro"/>
                <w:sz w:val="28"/>
                <w:szCs w:val="28"/>
                <w:lang w:val="en-US" w:eastAsia="es-ES"/>
              </w:rPr>
            </w:pPr>
          </w:p>
        </w:tc>
      </w:tr>
      <w:tr w:rsidR="007643A3" w:rsidRPr="00CC3849" w:rsidTr="00A31F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9" w:type="dxa"/>
          <w:trHeight w:val="340"/>
          <w:jc w:val="center"/>
        </w:trPr>
        <w:tc>
          <w:tcPr>
            <w:tcW w:w="10227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:rsidR="007643A3" w:rsidRPr="00ED7C72" w:rsidRDefault="007643A3" w:rsidP="00A31F8A">
            <w:pPr>
              <w:spacing w:after="0"/>
              <w:jc w:val="center"/>
              <w:rPr>
                <w:rFonts w:ascii="Myriad Pro" w:eastAsia="Times New Roman" w:hAnsi="Myriad Pro"/>
                <w:sz w:val="28"/>
                <w:szCs w:val="28"/>
                <w:lang w:val="en-US" w:eastAsia="es-ES"/>
              </w:rPr>
            </w:pPr>
          </w:p>
        </w:tc>
      </w:tr>
      <w:tr w:rsidR="007643A3" w:rsidRPr="00CC3849" w:rsidTr="00A31F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9" w:type="dxa"/>
          <w:trHeight w:val="340"/>
          <w:jc w:val="center"/>
        </w:trPr>
        <w:tc>
          <w:tcPr>
            <w:tcW w:w="10227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:rsidR="007643A3" w:rsidRPr="00ED7C72" w:rsidRDefault="007643A3" w:rsidP="00A31F8A">
            <w:pPr>
              <w:spacing w:after="0"/>
              <w:jc w:val="center"/>
              <w:rPr>
                <w:rFonts w:ascii="Myriad Pro" w:eastAsia="Times New Roman" w:hAnsi="Myriad Pro"/>
                <w:sz w:val="28"/>
                <w:szCs w:val="28"/>
                <w:lang w:val="en-US" w:eastAsia="es-ES"/>
              </w:rPr>
            </w:pPr>
          </w:p>
        </w:tc>
      </w:tr>
      <w:tr w:rsidR="007643A3" w:rsidRPr="00CC3849" w:rsidTr="00A31F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9" w:type="dxa"/>
          <w:trHeight w:val="340"/>
          <w:jc w:val="center"/>
        </w:trPr>
        <w:tc>
          <w:tcPr>
            <w:tcW w:w="10227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:rsidR="007643A3" w:rsidRPr="00ED7C72" w:rsidRDefault="007643A3" w:rsidP="00A31F8A">
            <w:pPr>
              <w:spacing w:after="0"/>
              <w:jc w:val="center"/>
              <w:rPr>
                <w:rFonts w:ascii="Myriad Pro" w:eastAsia="Times New Roman" w:hAnsi="Myriad Pro"/>
                <w:sz w:val="28"/>
                <w:szCs w:val="28"/>
                <w:lang w:val="en-US" w:eastAsia="es-ES"/>
              </w:rPr>
            </w:pPr>
          </w:p>
        </w:tc>
      </w:tr>
      <w:tr w:rsidR="007643A3" w:rsidRPr="00CC3849" w:rsidTr="00A31F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9" w:type="dxa"/>
          <w:trHeight w:val="340"/>
          <w:jc w:val="center"/>
        </w:trPr>
        <w:tc>
          <w:tcPr>
            <w:tcW w:w="10227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:rsidR="007643A3" w:rsidRPr="00ED7C72" w:rsidRDefault="007643A3" w:rsidP="00A31F8A">
            <w:pPr>
              <w:spacing w:after="0"/>
              <w:jc w:val="center"/>
              <w:rPr>
                <w:rFonts w:ascii="Myriad Pro" w:eastAsia="Times New Roman" w:hAnsi="Myriad Pro"/>
                <w:sz w:val="28"/>
                <w:szCs w:val="28"/>
                <w:lang w:val="en-US" w:eastAsia="es-ES"/>
              </w:rPr>
            </w:pPr>
          </w:p>
        </w:tc>
      </w:tr>
      <w:tr w:rsidR="007643A3" w:rsidRPr="00CC3849" w:rsidTr="00A31F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9" w:type="dxa"/>
          <w:trHeight w:val="340"/>
          <w:jc w:val="center"/>
        </w:trPr>
        <w:tc>
          <w:tcPr>
            <w:tcW w:w="10227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:rsidR="007643A3" w:rsidRPr="00ED7C72" w:rsidRDefault="007643A3" w:rsidP="00A31F8A">
            <w:pPr>
              <w:spacing w:after="0"/>
              <w:jc w:val="center"/>
              <w:rPr>
                <w:rFonts w:ascii="Myriad Pro" w:eastAsia="Times New Roman" w:hAnsi="Myriad Pro"/>
                <w:sz w:val="28"/>
                <w:szCs w:val="28"/>
                <w:lang w:val="en-US" w:eastAsia="es-ES"/>
              </w:rPr>
            </w:pPr>
          </w:p>
        </w:tc>
      </w:tr>
      <w:tr w:rsidR="007643A3" w:rsidRPr="00CC3849" w:rsidTr="00A31F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9" w:type="dxa"/>
          <w:trHeight w:val="340"/>
          <w:jc w:val="center"/>
        </w:trPr>
        <w:tc>
          <w:tcPr>
            <w:tcW w:w="10227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:rsidR="007643A3" w:rsidRPr="00ED7C72" w:rsidRDefault="007643A3" w:rsidP="00A31F8A">
            <w:pPr>
              <w:spacing w:after="0"/>
              <w:jc w:val="center"/>
              <w:rPr>
                <w:rFonts w:ascii="Myriad Pro" w:eastAsia="Times New Roman" w:hAnsi="Myriad Pro"/>
                <w:sz w:val="28"/>
                <w:szCs w:val="28"/>
                <w:lang w:val="en-US" w:eastAsia="es-ES"/>
              </w:rPr>
            </w:pPr>
          </w:p>
        </w:tc>
      </w:tr>
      <w:tr w:rsidR="007643A3" w:rsidRPr="00CC3849" w:rsidTr="00A31F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9" w:type="dxa"/>
          <w:trHeight w:val="340"/>
          <w:jc w:val="center"/>
        </w:trPr>
        <w:tc>
          <w:tcPr>
            <w:tcW w:w="10227" w:type="dxa"/>
            <w:gridSpan w:val="3"/>
            <w:tcBorders>
              <w:top w:val="dotDotDash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43A3" w:rsidRPr="00ED7C72" w:rsidRDefault="007643A3" w:rsidP="00A31F8A">
            <w:pPr>
              <w:spacing w:after="0"/>
              <w:jc w:val="center"/>
              <w:rPr>
                <w:rFonts w:ascii="Myriad Pro" w:eastAsia="Times New Roman" w:hAnsi="Myriad Pro"/>
                <w:sz w:val="28"/>
                <w:szCs w:val="28"/>
                <w:lang w:val="en-US" w:eastAsia="es-ES"/>
              </w:rPr>
            </w:pPr>
          </w:p>
        </w:tc>
      </w:tr>
      <w:tr w:rsidR="007643A3" w:rsidRPr="00ED7C72" w:rsidTr="00A31F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9" w:type="dxa"/>
          <w:trHeight w:val="340"/>
          <w:jc w:val="center"/>
        </w:trPr>
        <w:tc>
          <w:tcPr>
            <w:tcW w:w="10227" w:type="dxa"/>
            <w:gridSpan w:val="3"/>
            <w:vAlign w:val="center"/>
          </w:tcPr>
          <w:p w:rsidR="007643A3" w:rsidRPr="00ED7C72" w:rsidRDefault="007643A3" w:rsidP="00C8178B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Nombre/Name:</w:t>
            </w:r>
          </w:p>
        </w:tc>
      </w:tr>
      <w:tr w:rsidR="007643A3" w:rsidRPr="00ED7C72" w:rsidTr="00A31F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9" w:type="dxa"/>
          <w:trHeight w:val="340"/>
          <w:jc w:val="center"/>
        </w:trPr>
        <w:tc>
          <w:tcPr>
            <w:tcW w:w="10227" w:type="dxa"/>
            <w:gridSpan w:val="3"/>
            <w:vAlign w:val="center"/>
          </w:tcPr>
          <w:p w:rsidR="007643A3" w:rsidRPr="00ED7C72" w:rsidRDefault="007643A3" w:rsidP="00C8178B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Cargo/Title:</w:t>
            </w:r>
          </w:p>
        </w:tc>
      </w:tr>
      <w:tr w:rsidR="007643A3" w:rsidRPr="00ED7C72" w:rsidTr="00A31F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9" w:type="dxa"/>
          <w:trHeight w:val="340"/>
          <w:jc w:val="center"/>
        </w:trPr>
        <w:tc>
          <w:tcPr>
            <w:tcW w:w="10227" w:type="dxa"/>
            <w:gridSpan w:val="3"/>
            <w:vAlign w:val="center"/>
          </w:tcPr>
          <w:p w:rsidR="007643A3" w:rsidRPr="00ED7C72" w:rsidRDefault="007643A3" w:rsidP="00C8178B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>Firma/Signature:</w:t>
            </w:r>
            <w:r w:rsidRPr="00ED7C72">
              <w:rPr>
                <w:rFonts w:ascii="Myriad Pro" w:hAnsi="Myriad Pro" w:cs="Calibri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7643A3" w:rsidRPr="00ED7C72" w:rsidTr="00A31F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9" w:type="dxa"/>
          <w:trHeight w:val="340"/>
          <w:jc w:val="center"/>
        </w:trPr>
        <w:tc>
          <w:tcPr>
            <w:tcW w:w="10227" w:type="dxa"/>
            <w:gridSpan w:val="3"/>
            <w:vAlign w:val="center"/>
          </w:tcPr>
          <w:p w:rsidR="007643A3" w:rsidRPr="00ED7C72" w:rsidRDefault="007643A3" w:rsidP="00C8178B">
            <w:pPr>
              <w:spacing w:after="0"/>
              <w:jc w:val="both"/>
              <w:rPr>
                <w:rFonts w:ascii="Myriad Pro" w:eastAsia="Times New Roman" w:hAnsi="Myriad Pro"/>
                <w:sz w:val="28"/>
                <w:szCs w:val="28"/>
                <w:lang w:eastAsia="es-ES"/>
              </w:rPr>
            </w:pPr>
            <w:r w:rsidRPr="00ED7C72">
              <w:rPr>
                <w:rFonts w:ascii="Myriad Pro" w:eastAsia="Times New Roman" w:hAnsi="Myriad Pro"/>
                <w:sz w:val="28"/>
                <w:szCs w:val="28"/>
                <w:lang w:eastAsia="es-ES"/>
              </w:rPr>
              <w:t xml:space="preserve">Fecha/Date: </w:t>
            </w:r>
          </w:p>
        </w:tc>
      </w:tr>
    </w:tbl>
    <w:p w:rsidR="007643A3" w:rsidRPr="00ED7C72" w:rsidRDefault="007643A3" w:rsidP="007643A3">
      <w:pPr>
        <w:spacing w:after="0"/>
        <w:jc w:val="both"/>
        <w:rPr>
          <w:rFonts w:ascii="Myriad Pro" w:eastAsia="Times New Roman" w:hAnsi="Myriad Pro"/>
          <w:sz w:val="28"/>
          <w:szCs w:val="28"/>
          <w:lang w:val="es-ES_tradnl" w:eastAsia="es-ES"/>
        </w:rPr>
      </w:pPr>
    </w:p>
    <w:p w:rsidR="007026D3" w:rsidRDefault="007026D3"/>
    <w:sectPr w:rsidR="007026D3" w:rsidSect="00B25E32">
      <w:type w:val="continuous"/>
      <w:pgSz w:w="12240" w:h="15840"/>
      <w:pgMar w:top="1344" w:right="958" w:bottom="1344" w:left="958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AA6" w:rsidRDefault="00264AA6" w:rsidP="00B3066E">
      <w:pPr>
        <w:spacing w:after="0" w:line="240" w:lineRule="auto"/>
      </w:pPr>
      <w:r>
        <w:separator/>
      </w:r>
    </w:p>
  </w:endnote>
  <w:endnote w:type="continuationSeparator" w:id="0">
    <w:p w:rsidR="00264AA6" w:rsidRDefault="00264AA6" w:rsidP="00B3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AA6" w:rsidRDefault="00264AA6" w:rsidP="00B3066E">
      <w:pPr>
        <w:spacing w:after="0" w:line="240" w:lineRule="auto"/>
      </w:pPr>
      <w:r>
        <w:separator/>
      </w:r>
    </w:p>
  </w:footnote>
  <w:footnote w:type="continuationSeparator" w:id="0">
    <w:p w:rsidR="00264AA6" w:rsidRDefault="00264AA6" w:rsidP="00B30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7D51"/>
    <w:multiLevelType w:val="hybridMultilevel"/>
    <w:tmpl w:val="846C841C"/>
    <w:lvl w:ilvl="0" w:tplc="F3664C8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51991"/>
    <w:multiLevelType w:val="hybridMultilevel"/>
    <w:tmpl w:val="27D8D4D0"/>
    <w:lvl w:ilvl="0" w:tplc="F3664C8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95669"/>
    <w:multiLevelType w:val="hybridMultilevel"/>
    <w:tmpl w:val="6F441C12"/>
    <w:lvl w:ilvl="0" w:tplc="500A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E29F5"/>
    <w:multiLevelType w:val="hybridMultilevel"/>
    <w:tmpl w:val="95881320"/>
    <w:lvl w:ilvl="0" w:tplc="63869B24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A3"/>
    <w:rsid w:val="0025315D"/>
    <w:rsid w:val="00264AA6"/>
    <w:rsid w:val="006F180F"/>
    <w:rsid w:val="007026D3"/>
    <w:rsid w:val="007643A3"/>
    <w:rsid w:val="00B25E32"/>
    <w:rsid w:val="00B3066E"/>
    <w:rsid w:val="00C8178B"/>
    <w:rsid w:val="00C84425"/>
    <w:rsid w:val="00CC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F280F-068A-42DC-89A3-5C6800FD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3A3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43A3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643A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64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3A3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643A3"/>
    <w:pPr>
      <w:ind w:left="720"/>
      <w:contextualSpacing/>
    </w:pPr>
  </w:style>
  <w:style w:type="paragraph" w:customStyle="1" w:styleId="Default">
    <w:name w:val="Default"/>
    <w:rsid w:val="00764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30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6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1618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De La Concepción Marquez Espinosa</dc:creator>
  <cp:keywords/>
  <dc:description/>
  <cp:lastModifiedBy>Yisel Valdes Rodriguez</cp:lastModifiedBy>
  <cp:revision>6</cp:revision>
  <dcterms:created xsi:type="dcterms:W3CDTF">2016-12-08T17:16:00Z</dcterms:created>
  <dcterms:modified xsi:type="dcterms:W3CDTF">2016-12-08T18:36:00Z</dcterms:modified>
</cp:coreProperties>
</file>